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5B" w:rsidRPr="0064650D" w:rsidRDefault="0014105B" w:rsidP="0014105B">
      <w:pPr>
        <w:jc w:val="right"/>
        <w:rPr>
          <w:b/>
          <w:noProof/>
          <w:sz w:val="28"/>
          <w:szCs w:val="28"/>
        </w:rPr>
      </w:pPr>
      <w:r w:rsidRPr="0064650D">
        <w:rPr>
          <w:b/>
          <w:sz w:val="28"/>
          <w:szCs w:val="28"/>
        </w:rPr>
        <w:t xml:space="preserve">Приложение </w:t>
      </w:r>
      <w:r w:rsidR="00376804" w:rsidRPr="0064650D">
        <w:rPr>
          <w:b/>
          <w:sz w:val="28"/>
          <w:szCs w:val="28"/>
        </w:rPr>
        <w:t>5</w:t>
      </w:r>
    </w:p>
    <w:p w:rsidR="008A49A8" w:rsidRDefault="008A49A8" w:rsidP="0014105B">
      <w:pPr>
        <w:jc w:val="right"/>
        <w:rPr>
          <w:noProof/>
        </w:rPr>
      </w:pPr>
    </w:p>
    <w:p w:rsidR="008A49A8" w:rsidRDefault="008A49A8" w:rsidP="008A49A8">
      <w:pPr>
        <w:jc w:val="center"/>
        <w:rPr>
          <w:i/>
          <w:noProof/>
        </w:rPr>
      </w:pPr>
    </w:p>
    <w:p w:rsidR="0014105B" w:rsidRPr="00502B40" w:rsidRDefault="00502B40" w:rsidP="00502B40">
      <w:pPr>
        <w:jc w:val="center"/>
        <w:rPr>
          <w:i/>
          <w:noProof/>
          <w:sz w:val="44"/>
          <w:szCs w:val="44"/>
        </w:rPr>
      </w:pPr>
      <w:r w:rsidRPr="00502B40">
        <w:rPr>
          <w:i/>
          <w:noProof/>
          <w:sz w:val="44"/>
          <w:szCs w:val="44"/>
        </w:rPr>
        <w:t>УРОВЕНЬ ВОСПИТАННОСТИ</w:t>
      </w:r>
    </w:p>
    <w:p w:rsidR="0014105B" w:rsidRDefault="00565EED" w:rsidP="0014105B">
      <w:pPr>
        <w:rPr>
          <w:i/>
          <w:noProof/>
        </w:rPr>
      </w:pPr>
      <w:bookmarkStart w:id="0" w:name="_GoBack"/>
      <w:r>
        <w:rPr>
          <w:noProof/>
        </w:rPr>
        <w:drawing>
          <wp:inline distT="0" distB="0" distL="0" distR="0" wp14:anchorId="19E02805" wp14:editId="476C045C">
            <wp:extent cx="8943975" cy="441960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p w:rsidR="009217EF" w:rsidRDefault="009217EF" w:rsidP="0014105B">
      <w:pPr>
        <w:jc w:val="right"/>
      </w:pPr>
    </w:p>
    <w:sectPr w:rsidR="009217EF" w:rsidSect="001410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105B"/>
    <w:rsid w:val="0014105B"/>
    <w:rsid w:val="00376804"/>
    <w:rsid w:val="00502B40"/>
    <w:rsid w:val="00503E94"/>
    <w:rsid w:val="00565EED"/>
    <w:rsid w:val="005C31DD"/>
    <w:rsid w:val="0064650D"/>
    <w:rsid w:val="008A49A8"/>
    <w:rsid w:val="009217EF"/>
    <w:rsid w:val="00A24FFE"/>
    <w:rsid w:val="00A41BD7"/>
    <w:rsid w:val="00D93972"/>
    <w:rsid w:val="00F9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0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0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40;&#1085;&#1072;&#1083;&#1080;&#1079;&#1099;%20&#1042;&#1056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1"/>
          <c:dLbls>
            <c:dLbl>
              <c:idx val="0"/>
              <c:tx>
                <c:rich>
                  <a:bodyPr/>
                  <a:lstStyle/>
                  <a:p>
                    <a:pPr>
                      <a:defRPr sz="1200" b="1"/>
                    </a:pPr>
                    <a:r>
                      <a:rPr lang="ru-RU"/>
                      <a:t> 2015-2016; 2,5</a:t>
                    </a:r>
                  </a:p>
                </c:rich>
              </c:tx>
              <c:spPr/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1"/>
              <c:tx>
                <c:rich>
                  <a:bodyPr/>
                  <a:lstStyle/>
                  <a:p>
                    <a:pPr>
                      <a:defRPr sz="1200" b="1"/>
                    </a:pPr>
                    <a:r>
                      <a:rPr lang="ru-RU"/>
                      <a:t> 2016-2017; 2,2</a:t>
                    </a:r>
                  </a:p>
                </c:rich>
              </c:tx>
              <c:spPr/>
              <c:showLegendKey val="1"/>
              <c:showVal val="1"/>
              <c:showCatName val="1"/>
              <c:showSerName val="1"/>
              <c:showPercent val="1"/>
              <c:showBubbleSize val="1"/>
            </c:dLbl>
            <c:dLbl>
              <c:idx val="2"/>
              <c:tx>
                <c:rich>
                  <a:bodyPr/>
                  <a:lstStyle/>
                  <a:p>
                    <a:pPr>
                      <a:defRPr sz="1200" b="1"/>
                    </a:pPr>
                    <a:r>
                      <a:rPr lang="ru-RU"/>
                      <a:t> 2017-2018; 2,2</a:t>
                    </a:r>
                  </a:p>
                </c:rich>
              </c:tx>
              <c:spPr/>
              <c:showLegendKey val="1"/>
              <c:showVal val="1"/>
              <c:showCatName val="1"/>
              <c:showSerName val="1"/>
              <c:showPercent val="1"/>
              <c:showBubbleSize val="1"/>
            </c:dLbl>
            <c:txPr>
              <a:bodyPr/>
              <a:lstStyle/>
              <a:p>
                <a:pPr>
                  <a:defRPr sz="1200" b="0"/>
                </a:pPr>
                <a:endParaRPr lang="ru-RU"/>
              </a:p>
            </c:txPr>
            <c:showLegendKey val="1"/>
            <c:showVal val="1"/>
            <c:showCatName val="1"/>
            <c:showSerName val="1"/>
            <c:showPercent val="1"/>
            <c:showBubbleSize val="1"/>
            <c:showLeaderLines val="0"/>
          </c:dLbls>
          <c:cat>
            <c:strRef>
              <c:f>Лист1!$A$35:$A$37</c:f>
              <c:strCache>
                <c:ptCount val="3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</c:strCache>
            </c:strRef>
          </c:cat>
          <c:val>
            <c:numRef>
              <c:f>Лист1!$B$35:$B$37</c:f>
              <c:numCache>
                <c:formatCode>General</c:formatCode>
                <c:ptCount val="3"/>
                <c:pt idx="0">
                  <c:v>2.5</c:v>
                </c:pt>
                <c:pt idx="1">
                  <c:v>2.2000000000000002</c:v>
                </c:pt>
                <c:pt idx="2">
                  <c:v>2.2000000000000002</c:v>
                </c:pt>
              </c:numCache>
            </c:numRef>
          </c:val>
        </c:ser>
        <c:ser>
          <c:idx val="1"/>
          <c:order val="1"/>
          <c:invertIfNegative val="1"/>
          <c:dLbls>
            <c:delete val="1"/>
          </c:dLbls>
          <c:cat>
            <c:strRef>
              <c:f>Лист1!$A$35:$A$37</c:f>
              <c:strCache>
                <c:ptCount val="3"/>
                <c:pt idx="0">
                  <c:v>2015-2016</c:v>
                </c:pt>
                <c:pt idx="1">
                  <c:v>2016-2017</c:v>
                </c:pt>
                <c:pt idx="2">
                  <c:v>2017-2018</c:v>
                </c:pt>
              </c:strCache>
            </c:strRef>
          </c:cat>
          <c:val>
            <c:numRef>
              <c:f>Лист1!$C$35:$C$37</c:f>
              <c:numCache>
                <c:formatCode>General</c:formatCode>
                <c:ptCount val="3"/>
              </c:numCache>
            </c:numRef>
          </c:val>
        </c:ser>
        <c:dLbls>
          <c:showLegendKey val="1"/>
          <c:showVal val="1"/>
          <c:showCatName val="1"/>
          <c:showSerName val="1"/>
          <c:showPercent val="1"/>
          <c:showBubbleSize val="1"/>
        </c:dLbls>
        <c:gapWidth val="150"/>
        <c:shape val="box"/>
        <c:axId val="100402688"/>
        <c:axId val="62636032"/>
        <c:axId val="0"/>
      </c:bar3DChart>
      <c:catAx>
        <c:axId val="100402688"/>
        <c:scaling>
          <c:orientation val="minMax"/>
        </c:scaling>
        <c:delete val="1"/>
        <c:axPos val="b"/>
        <c:majorTickMark val="none"/>
        <c:minorTickMark val="cross"/>
        <c:tickLblPos val="nextTo"/>
        <c:crossAx val="62636032"/>
        <c:crosses val="autoZero"/>
        <c:auto val="1"/>
        <c:lblAlgn val="ctr"/>
        <c:lblOffset val="100"/>
        <c:noMultiLvlLbl val="1"/>
      </c:catAx>
      <c:valAx>
        <c:axId val="62636032"/>
        <c:scaling>
          <c:orientation val="minMax"/>
        </c:scaling>
        <c:delete val="1"/>
        <c:axPos val="l"/>
        <c:numFmt formatCode="General" sourceLinked="1"/>
        <c:majorTickMark val="none"/>
        <c:minorTickMark val="cross"/>
        <c:tickLblPos val="nextTo"/>
        <c:crossAx val="100402688"/>
        <c:crosses val="autoZero"/>
        <c:crossBetween val="between"/>
      </c:valAx>
    </c:plotArea>
    <c:plotVisOnly val="1"/>
    <c:dispBlanksAs val="zero"/>
    <c:showDLblsOverMax val="1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10</cp:revision>
  <dcterms:created xsi:type="dcterms:W3CDTF">2012-11-05T11:07:00Z</dcterms:created>
  <dcterms:modified xsi:type="dcterms:W3CDTF">2018-11-16T07:06:00Z</dcterms:modified>
</cp:coreProperties>
</file>